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¿Qué harías para solucionar los problemas de agua en México? P&amp;G te reta a lograrlo</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A 11 de agosto de 2023. – </w:t>
      </w:r>
      <w:r w:rsidDel="00000000" w:rsidR="00000000" w:rsidRPr="00000000">
        <w:rPr>
          <w:rtl w:val="0"/>
        </w:rPr>
        <w:t xml:space="preserve">¿Te has imaginado cuánta agua utilizamos en actividades cotidianas? Seguramente es más de la que te imaginas, y eso que hablamos de apenas una de las tantas actividades como el uso de la regadera, el lavado de ropa o regar las plantas que, todos los días, involucran el uso del recurso hídrico.</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La importancia del agua en el día a día es innegable. Pero, desafortunadamente, no todas las personas tienen acceso a ella; en el país hay 12.5 millones de personas sin acceso al agua de manera segura y asequible. Y México, con 52% de su territorio en clima árido o semiárido, está siendo más vulnerable a sequías frecuentes e intensas que amenazan la disponibilidad del agua.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¿Te preocupan estos problemas? ¿Tienes una iniciativa que viene contribuyendo con la solución de estos problemas? ¡Entonces el Desafío Agua en Positivo es para ti!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P&amp;G a través de la </w:t>
      </w:r>
      <w:hyperlink r:id="rId7">
        <w:r w:rsidDel="00000000" w:rsidR="00000000" w:rsidRPr="00000000">
          <w:rPr>
            <w:color w:val="1155cc"/>
            <w:u w:val="single"/>
            <w:rtl w:val="0"/>
          </w:rPr>
          <w:t xml:space="preserve">iniciativa ‘Agua en Positivo’</w:t>
        </w:r>
      </w:hyperlink>
      <w:r w:rsidDel="00000000" w:rsidR="00000000" w:rsidRPr="00000000">
        <w:rPr>
          <w:rtl w:val="0"/>
        </w:rPr>
        <w:t xml:space="preserve"> y en conjunto con la organización Fondo Unido IAP, Young Water Solutions y Makesense, busca a jóvenes emprendedores mexicanos desde los 18 años de edad u organizaciones de la sociedad civil que tengan proyectos sustentables enfocados en resolver los retos de la crisis de agua en México. Esta iniciativa busca fortalecer tu idea  para  que, además de restaurar el vital líquido, y asegurar acceso al agua y saneamiento, fortalezcas tu modelo de negocio con impacto social positivo.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Participar es muy fácil, requieres un equipo de dos a cinco personas, que sean ciudadanos y/o residentes en México, crear una idea innovadora y que sea validada sobre alguno de los dos retos que son:</w:t>
        <w:br w:type="textWrapping"/>
      </w:r>
    </w:p>
    <w:p w:rsidR="00000000" w:rsidDel="00000000" w:rsidP="00000000" w:rsidRDefault="00000000" w:rsidRPr="00000000" w14:paraId="0000000C">
      <w:pPr>
        <w:numPr>
          <w:ilvl w:val="0"/>
          <w:numId w:val="1"/>
        </w:numPr>
        <w:ind w:left="720" w:hanging="360"/>
        <w:jc w:val="both"/>
        <w:rPr/>
      </w:pPr>
      <w:r w:rsidDel="00000000" w:rsidR="00000000" w:rsidRPr="00000000">
        <w:rPr>
          <w:rtl w:val="0"/>
        </w:rPr>
        <w:t xml:space="preserve">Restauración de agua.     </w:t>
      </w:r>
    </w:p>
    <w:p w:rsidR="00000000" w:rsidDel="00000000" w:rsidP="00000000" w:rsidRDefault="00000000" w:rsidRPr="00000000" w14:paraId="0000000D">
      <w:pPr>
        <w:numPr>
          <w:ilvl w:val="0"/>
          <w:numId w:val="1"/>
        </w:numPr>
        <w:ind w:left="720" w:hanging="360"/>
        <w:jc w:val="both"/>
        <w:rPr/>
      </w:pPr>
      <w:r w:rsidDel="00000000" w:rsidR="00000000" w:rsidRPr="00000000">
        <w:rPr>
          <w:rtl w:val="0"/>
        </w:rPr>
        <w:t xml:space="preserve">Acceso al agua y saneamiento.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Si estás interesado en participar con tu proyecto, reúne a tu equipo e inscríbete </w:t>
      </w:r>
      <w:hyperlink r:id="rId8">
        <w:r w:rsidDel="00000000" w:rsidR="00000000" w:rsidRPr="00000000">
          <w:rPr>
            <w:color w:val="1155cc"/>
            <w:u w:val="single"/>
            <w:rtl w:val="0"/>
          </w:rPr>
          <w:t xml:space="preserve">aquí</w:t>
        </w:r>
      </w:hyperlink>
      <w:r w:rsidDel="00000000" w:rsidR="00000000" w:rsidRPr="00000000">
        <w:rPr>
          <w:rtl w:val="0"/>
        </w:rPr>
        <w:t xml:space="preserve">. En caso de resultar entre los 15 seleccionados, P&amp;G te ofrecerá mentoría, respaldo y acompañamiento; además de talleres centrados en la resolución de problemas, la generación de soluciones innovadoras, la empatía con los usuarios, el análisis de sus necesidades y la interacción constante a través de prototipos y pruebas.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Posteriormente, si tu idea es una de las tres con mayor potencial de implementación, ganarás                          un </w:t>
      </w:r>
      <w:r w:rsidDel="00000000" w:rsidR="00000000" w:rsidRPr="00000000">
        <w:rPr>
          <w:i w:val="1"/>
          <w:rtl w:val="0"/>
        </w:rPr>
        <w:t xml:space="preserve">bootcamp</w:t>
      </w:r>
      <w:r w:rsidDel="00000000" w:rsidR="00000000" w:rsidRPr="00000000">
        <w:rPr>
          <w:rtl w:val="0"/>
        </w:rPr>
        <w:t xml:space="preserve"> presencial de tres días, sesiones de negocio y apoyo para implementar dicha solución.</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Tu participación en la conservación del agua es muy importante, y P&amp;G te ofrece la oportunidad de convertirte en un agente de cambio responsable, con potencial de negocio social.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Para conocer las bases de la iniciativa, puedes </w:t>
      </w:r>
      <w:hyperlink r:id="rId9">
        <w:r w:rsidDel="00000000" w:rsidR="00000000" w:rsidRPr="00000000">
          <w:rPr>
            <w:color w:val="1155cc"/>
            <w:u w:val="single"/>
            <w:rtl w:val="0"/>
          </w:rPr>
          <w:t xml:space="preserve">dar clic aquí</w:t>
        </w:r>
      </w:hyperlink>
      <w:r w:rsidDel="00000000" w:rsidR="00000000" w:rsidRPr="00000000">
        <w:rPr>
          <w:rtl w:val="0"/>
        </w:rPr>
        <w:t xml:space="preserve"> para mayor información. </w:t>
      </w:r>
    </w:p>
    <w:sectPr>
      <w:headerReference r:id="rId10" w:type="default"/>
      <w:headerReference r:id="rId11" w:type="first"/>
      <w:head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drawing>
        <wp:inline distB="0" distT="0" distL="114300" distR="114300">
          <wp:extent cx="544195" cy="544195"/>
          <wp:effectExtent b="0" l="0" r="0" t="0"/>
          <wp:docPr descr="Icon&#10;&#10;Description automatically generated" id="11" name="image1.jpg"/>
          <a:graphic>
            <a:graphicData uri="http://schemas.openxmlformats.org/drawingml/2006/picture">
              <pic:pic>
                <pic:nvPicPr>
                  <pic:cNvPr descr="Icon&#10;&#10;Description automatically generated" id="0" name="image1.jpg"/>
                  <pic:cNvPicPr preferRelativeResize="0"/>
                </pic:nvPicPr>
                <pic:blipFill>
                  <a:blip r:embed="rId1"/>
                  <a:srcRect b="0" l="0" r="0" t="0"/>
                  <a:stretch>
                    <a:fillRect/>
                  </a:stretch>
                </pic:blipFill>
                <pic:spPr>
                  <a:xfrm>
                    <a:off x="0" y="0"/>
                    <a:ext cx="544195" cy="54419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color w:val="000000"/>
      </w:rPr>
      <mc:AlternateContent>
        <mc:Choice Requires="wpg">
          <w:drawing>
            <wp:anchor allowOverlap="1" behindDoc="0" distB="0" distT="0" distL="0" distR="0" hidden="0" layoutInCell="1" locked="0" relativeHeight="0" simplePos="0">
              <wp:simplePos x="0" y="0"/>
              <wp:positionH relativeFrom="page">
                <wp:align>right</wp:align>
              </wp:positionH>
              <wp:positionV relativeFrom="page">
                <wp:align>top</wp:align>
              </wp:positionV>
              <wp:extent cx="462915" cy="462915"/>
              <wp:effectExtent b="0" l="0" r="0" t="0"/>
              <wp:wrapNone/>
              <wp:docPr descr="Business Use" id="10"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Business Use</w:t>
                          </w:r>
                        </w:p>
                      </w:txbxContent>
                    </wps:txbx>
                    <wps:bodyPr anchorCtr="0" anchor="t" bIns="0" lIns="0" spcFirstLastPara="1" rIns="25400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right</wp:align>
              </wp:positionH>
              <wp:positionV relativeFrom="page">
                <wp:align>top</wp:align>
              </wp:positionV>
              <wp:extent cx="462915" cy="462915"/>
              <wp:effectExtent b="0" l="0" r="0" t="0"/>
              <wp:wrapNone/>
              <wp:docPr descr="Business Use" id="10" name="image3.png"/>
              <a:graphic>
                <a:graphicData uri="http://schemas.openxmlformats.org/drawingml/2006/picture">
                  <pic:pic>
                    <pic:nvPicPr>
                      <pic:cNvPr descr="Business Use" id="0" name="image3.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color w:val="000000"/>
      </w:rPr>
      <mc:AlternateContent>
        <mc:Choice Requires="wpg">
          <w:drawing>
            <wp:anchor allowOverlap="1" behindDoc="0" distB="0" distT="0" distL="0" distR="0" hidden="0" layoutInCell="1" locked="0" relativeHeight="0" simplePos="0">
              <wp:simplePos x="0" y="0"/>
              <wp:positionH relativeFrom="page">
                <wp:align>right</wp:align>
              </wp:positionH>
              <wp:positionV relativeFrom="page">
                <wp:align>top</wp:align>
              </wp:positionV>
              <wp:extent cx="462915" cy="462915"/>
              <wp:effectExtent b="0" l="0" r="0" t="0"/>
              <wp:wrapNone/>
              <wp:docPr descr="Business Use" id="9"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Business Use</w:t>
                          </w:r>
                        </w:p>
                      </w:txbxContent>
                    </wps:txbx>
                    <wps:bodyPr anchorCtr="0" anchor="t" bIns="0" lIns="0" spcFirstLastPara="1" rIns="25400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right</wp:align>
              </wp:positionH>
              <wp:positionV relativeFrom="page">
                <wp:align>top</wp:align>
              </wp:positionV>
              <wp:extent cx="462915" cy="462915"/>
              <wp:effectExtent b="0" l="0" r="0" t="0"/>
              <wp:wrapNone/>
              <wp:docPr descr="Business Use" id="9" name="image2.png"/>
              <a:graphic>
                <a:graphicData uri="http://schemas.openxmlformats.org/drawingml/2006/picture">
                  <pic:pic>
                    <pic:nvPicPr>
                      <pic:cNvPr descr="Business Use" id="0" name="image2.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EC7CBE"/>
    <w:pPr>
      <w:tabs>
        <w:tab w:val="center" w:pos="4680"/>
        <w:tab w:val="right" w:pos="9360"/>
      </w:tabs>
      <w:spacing w:line="240" w:lineRule="auto"/>
    </w:pPr>
  </w:style>
  <w:style w:type="character" w:styleId="HeaderChar" w:customStyle="1">
    <w:name w:val="Header Char"/>
    <w:basedOn w:val="DefaultParagraphFont"/>
    <w:link w:val="Header"/>
    <w:uiPriority w:val="99"/>
    <w:rsid w:val="00EC7CBE"/>
  </w:style>
  <w:style w:type="character" w:styleId="CommentReference">
    <w:name w:val="annotation reference"/>
    <w:basedOn w:val="DefaultParagraphFont"/>
    <w:uiPriority w:val="99"/>
    <w:semiHidden w:val="1"/>
    <w:unhideWhenUsed w:val="1"/>
    <w:rsid w:val="00B74B2C"/>
    <w:rPr>
      <w:sz w:val="16"/>
      <w:szCs w:val="16"/>
    </w:rPr>
  </w:style>
  <w:style w:type="paragraph" w:styleId="CommentText">
    <w:name w:val="annotation text"/>
    <w:basedOn w:val="Normal"/>
    <w:link w:val="CommentTextChar"/>
    <w:uiPriority w:val="99"/>
    <w:unhideWhenUsed w:val="1"/>
    <w:rsid w:val="00B74B2C"/>
    <w:pPr>
      <w:spacing w:line="240" w:lineRule="auto"/>
    </w:pPr>
    <w:rPr>
      <w:sz w:val="20"/>
      <w:szCs w:val="20"/>
    </w:rPr>
  </w:style>
  <w:style w:type="character" w:styleId="CommentTextChar" w:customStyle="1">
    <w:name w:val="Comment Text Char"/>
    <w:basedOn w:val="DefaultParagraphFont"/>
    <w:link w:val="CommentText"/>
    <w:uiPriority w:val="99"/>
    <w:rsid w:val="00B74B2C"/>
    <w:rPr>
      <w:sz w:val="20"/>
      <w:szCs w:val="20"/>
    </w:rPr>
  </w:style>
  <w:style w:type="paragraph" w:styleId="CommentSubject">
    <w:name w:val="annotation subject"/>
    <w:basedOn w:val="CommentText"/>
    <w:next w:val="CommentText"/>
    <w:link w:val="CommentSubjectChar"/>
    <w:uiPriority w:val="99"/>
    <w:semiHidden w:val="1"/>
    <w:unhideWhenUsed w:val="1"/>
    <w:rsid w:val="00B74B2C"/>
    <w:rPr>
      <w:b w:val="1"/>
      <w:bCs w:val="1"/>
    </w:rPr>
  </w:style>
  <w:style w:type="character" w:styleId="CommentSubjectChar" w:customStyle="1">
    <w:name w:val="Comment Subject Char"/>
    <w:basedOn w:val="CommentTextChar"/>
    <w:link w:val="CommentSubject"/>
    <w:uiPriority w:val="99"/>
    <w:semiHidden w:val="1"/>
    <w:rsid w:val="00B74B2C"/>
    <w:rPr>
      <w:b w:val="1"/>
      <w:bCs w:val="1"/>
      <w:sz w:val="20"/>
      <w:szCs w:val="20"/>
    </w:rPr>
  </w:style>
  <w:style w:type="paragraph" w:styleId="Revision">
    <w:name w:val="Revision"/>
    <w:hidden w:val="1"/>
    <w:uiPriority w:val="99"/>
    <w:semiHidden w:val="1"/>
    <w:rsid w:val="00E25A03"/>
    <w:pPr>
      <w:spacing w:line="240" w:lineRule="auto"/>
    </w:pPr>
  </w:style>
  <w:style w:type="paragraph" w:styleId="Footer">
    <w:name w:val="footer"/>
    <w:basedOn w:val="Normal"/>
    <w:link w:val="FooterChar"/>
    <w:uiPriority w:val="99"/>
    <w:unhideWhenUsed w:val="1"/>
    <w:rsid w:val="00D42AEC"/>
    <w:pPr>
      <w:tabs>
        <w:tab w:val="center" w:pos="4680"/>
        <w:tab w:val="right" w:pos="9360"/>
      </w:tabs>
      <w:spacing w:line="240" w:lineRule="auto"/>
    </w:pPr>
  </w:style>
  <w:style w:type="character" w:styleId="FooterChar" w:customStyle="1">
    <w:name w:val="Footer Char"/>
    <w:basedOn w:val="DefaultParagraphFont"/>
    <w:link w:val="Footer"/>
    <w:uiPriority w:val="99"/>
    <w:rsid w:val="00D42AEC"/>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header" Target="header1.xml"/><Relationship Id="rId12" Type="http://schemas.openxmlformats.org/officeDocument/2006/relationships/header" Target="header2.xml"/><Relationship Id="rId9" Type="http://schemas.openxmlformats.org/officeDocument/2006/relationships/hyperlink" Target="https://aguaenpositivo.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guaenpositivo.com/" TargetMode="External"/><Relationship Id="rId8" Type="http://schemas.openxmlformats.org/officeDocument/2006/relationships/hyperlink" Target="https://aguaenpositiv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I7mO6TtHNeC5v/wtPzsxbBcXjA==">CgMxLjA4AGoxChRzdWdnZXN0LmhkdDRkZHI2YjV6ZxIZQWxlamFuZHJhIEZlcnJlaXJvIE51w7FlemoxChRzdWdnZXN0LncwMHc4anM2ZTNpdxIZQWxlamFuZHJhIEZlcnJlaXJvIE51w7FlenIhMWtKN2t2T0JXcXM2SHl0c2JFRWZubjJxd3NTQ3I4X1Ez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2023-08-10T16:51:00Z</dcterms:created>
  <dc:creator>RAYEK, DAVID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0x01010057261CAE522E9B41A544D31B4D64B4D1</vt:lpwstr>
  </property>
  <property fmtid="{D5CDD505-2E9C-101B-9397-08002B2CF9AE}" pid="3" name="MediaServiceImageTags">
    <vt:lpwstr/>
  </property>
  <property fmtid="{D5CDD505-2E9C-101B-9397-08002B2CF9AE}" pid="4" name="MSIP_Label_a518e53f-798e-43aa-978d-c3fda1f3a682_Enabled">
    <vt:lpwstr>true</vt:lpwstr>
  </property>
  <property fmtid="{D5CDD505-2E9C-101B-9397-08002B2CF9AE}" pid="5" name="MSIP_Label_a518e53f-798e-43aa-978d-c3fda1f3a682_SetDate">
    <vt:lpwstr>2023-08-10T17:00:55Z</vt:lpwstr>
  </property>
  <property fmtid="{D5CDD505-2E9C-101B-9397-08002B2CF9AE}" pid="6" name="MSIP_Label_a518e53f-798e-43aa-978d-c3fda1f3a682_Method">
    <vt:lpwstr>Privileged</vt:lpwstr>
  </property>
  <property fmtid="{D5CDD505-2E9C-101B-9397-08002B2CF9AE}" pid="7" name="MSIP_Label_a518e53f-798e-43aa-978d-c3fda1f3a682_Name">
    <vt:lpwstr>PG - Internal Use</vt:lpwstr>
  </property>
  <property fmtid="{D5CDD505-2E9C-101B-9397-08002B2CF9AE}" pid="8" name="MSIP_Label_a518e53f-798e-43aa-978d-c3fda1f3a682_SiteId">
    <vt:lpwstr>3596192b-fdf5-4e2c-a6fa-acb706c963d8</vt:lpwstr>
  </property>
  <property fmtid="{D5CDD505-2E9C-101B-9397-08002B2CF9AE}" pid="9" name="MSIP_Label_a518e53f-798e-43aa-978d-c3fda1f3a682_ActionId">
    <vt:lpwstr>df869ff5-effe-4335-ae89-7fb0d4eb4829</vt:lpwstr>
  </property>
  <property fmtid="{D5CDD505-2E9C-101B-9397-08002B2CF9AE}" pid="10" name="MSIP_Label_a518e53f-798e-43aa-978d-c3fda1f3a682_ContentBits">
    <vt:lpwstr>1</vt:lpwstr>
  </property>
</Properties>
</file>